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56EB5">
      <w:pPr>
        <w:widowControl/>
        <w:spacing w:after="0" w:line="360" w:lineRule="auto"/>
        <w:jc w:val="center"/>
        <w:rPr>
          <w:rFonts w:hint="eastAsia" w:ascii="黑体" w:hAnsi="黑体" w:eastAsia="黑体"/>
          <w:b/>
          <w:bCs/>
          <w:kern w:val="0"/>
          <w:sz w:val="32"/>
          <w:szCs w:val="32"/>
          <w:lang w:val="en-US" w:eastAsia="zh-CN"/>
        </w:rPr>
      </w:pPr>
      <w:r>
        <w:rPr>
          <w:rFonts w:hint="eastAsia" w:ascii="黑体" w:hAnsi="黑体" w:eastAsia="黑体"/>
          <w:b/>
          <w:bCs/>
          <w:kern w:val="0"/>
          <w:sz w:val="32"/>
          <w:szCs w:val="32"/>
          <w:lang w:val="en-US" w:eastAsia="zh-CN"/>
        </w:rPr>
        <w:t>海南省种业实验室与中国种子集团有限公司2025年度联合“揭榜挂帅”项目榜单</w:t>
      </w:r>
    </w:p>
    <w:p w14:paraId="145275DD">
      <w:pPr>
        <w:widowControl/>
        <w:spacing w:after="0" w:line="360" w:lineRule="auto"/>
        <w:jc w:val="center"/>
        <w:rPr>
          <w:rFonts w:hint="eastAsia" w:ascii="黑体" w:hAnsi="黑体" w:eastAsia="黑体"/>
          <w:b/>
          <w:bCs/>
          <w:kern w:val="0"/>
          <w:sz w:val="32"/>
          <w:szCs w:val="32"/>
          <w:lang w:val="en-US" w:eastAsia="zh-CN"/>
        </w:rPr>
      </w:pPr>
    </w:p>
    <w:tbl>
      <w:tblPr>
        <w:tblStyle w:val="2"/>
        <w:tblW w:w="5000" w:type="pct"/>
        <w:tblInd w:w="0" w:type="dxa"/>
        <w:tblLayout w:type="autofit"/>
        <w:tblCellMar>
          <w:top w:w="0" w:type="dxa"/>
          <w:left w:w="108" w:type="dxa"/>
          <w:bottom w:w="0" w:type="dxa"/>
          <w:right w:w="108" w:type="dxa"/>
        </w:tblCellMar>
      </w:tblPr>
      <w:tblGrid>
        <w:gridCol w:w="649"/>
        <w:gridCol w:w="1079"/>
        <w:gridCol w:w="4046"/>
        <w:gridCol w:w="2748"/>
      </w:tblGrid>
      <w:tr w14:paraId="702A4D23">
        <w:tblPrEx>
          <w:tblCellMar>
            <w:top w:w="0" w:type="dxa"/>
            <w:left w:w="108" w:type="dxa"/>
            <w:bottom w:w="0" w:type="dxa"/>
            <w:right w:w="108" w:type="dxa"/>
          </w:tblCellMar>
        </w:tblPrEx>
        <w:trPr>
          <w:trHeight w:val="585" w:hRule="atLeast"/>
        </w:trPr>
        <w:tc>
          <w:tcPr>
            <w:tcW w:w="5000" w:type="pct"/>
            <w:gridSpan w:val="4"/>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41D236">
            <w:pPr>
              <w:widowControl/>
              <w:jc w:val="center"/>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联合“揭榜挂帅”第三期项目榜单</w:t>
            </w:r>
            <w:bookmarkStart w:id="0" w:name="_GoBack"/>
            <w:bookmarkEnd w:id="0"/>
          </w:p>
        </w:tc>
      </w:tr>
      <w:tr w14:paraId="7A2C425B">
        <w:tblPrEx>
          <w:tblCellMar>
            <w:top w:w="0" w:type="dxa"/>
            <w:left w:w="108" w:type="dxa"/>
            <w:bottom w:w="0" w:type="dxa"/>
            <w:right w:w="108" w:type="dxa"/>
          </w:tblCellMar>
        </w:tblPrEx>
        <w:trPr>
          <w:trHeight w:val="348" w:hRule="atLeast"/>
        </w:trPr>
        <w:tc>
          <w:tcPr>
            <w:tcW w:w="38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3954CC">
            <w:pPr>
              <w:widowControl/>
              <w:jc w:val="center"/>
              <w:textAlignment w:val="center"/>
              <w:rPr>
                <w:rFonts w:ascii="仿宋" w:hAnsi="仿宋" w:eastAsia="仿宋" w:cs="宋体"/>
                <w:color w:val="000000"/>
                <w:szCs w:val="28"/>
              </w:rPr>
            </w:pPr>
            <w:r>
              <w:rPr>
                <w:rFonts w:hint="eastAsia" w:ascii="仿宋" w:hAnsi="仿宋" w:eastAsia="仿宋" w:cs="宋体"/>
                <w:color w:val="000000"/>
                <w:kern w:val="0"/>
                <w:szCs w:val="28"/>
                <w:lang w:bidi="ar"/>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7CD8">
            <w:pPr>
              <w:widowControl/>
              <w:jc w:val="center"/>
              <w:textAlignment w:val="center"/>
              <w:rPr>
                <w:rFonts w:ascii="仿宋" w:hAnsi="仿宋" w:eastAsia="仿宋" w:cs="宋体"/>
                <w:color w:val="000000"/>
                <w:szCs w:val="28"/>
              </w:rPr>
            </w:pPr>
            <w:r>
              <w:rPr>
                <w:rFonts w:hint="eastAsia" w:ascii="仿宋" w:hAnsi="仿宋" w:eastAsia="仿宋" w:cs="宋体"/>
                <w:color w:val="000000"/>
                <w:kern w:val="0"/>
                <w:szCs w:val="28"/>
                <w:lang w:bidi="ar"/>
              </w:rPr>
              <w:t>项目名称</w:t>
            </w:r>
          </w:p>
        </w:tc>
        <w:tc>
          <w:tcPr>
            <w:tcW w:w="2374" w:type="pct"/>
            <w:tcBorders>
              <w:top w:val="single" w:color="000000" w:sz="4" w:space="0"/>
              <w:left w:val="single" w:color="000000" w:sz="4" w:space="0"/>
              <w:bottom w:val="single" w:color="000000" w:sz="4" w:space="0"/>
              <w:right w:val="single" w:color="000000" w:sz="4" w:space="0"/>
            </w:tcBorders>
          </w:tcPr>
          <w:p w14:paraId="60FCEAAA">
            <w:pPr>
              <w:widowControl/>
              <w:jc w:val="center"/>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研究内容</w:t>
            </w:r>
          </w:p>
        </w:tc>
        <w:tc>
          <w:tcPr>
            <w:tcW w:w="1612" w:type="pct"/>
            <w:tcBorders>
              <w:top w:val="single" w:color="000000" w:sz="4" w:space="0"/>
              <w:left w:val="single" w:color="000000" w:sz="4" w:space="0"/>
              <w:bottom w:val="single" w:color="000000" w:sz="4" w:space="0"/>
              <w:right w:val="single" w:color="000000" w:sz="4" w:space="0"/>
            </w:tcBorders>
          </w:tcPr>
          <w:p w14:paraId="29A1DF2F">
            <w:pPr>
              <w:widowControl/>
              <w:jc w:val="center"/>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考核指标</w:t>
            </w:r>
          </w:p>
        </w:tc>
      </w:tr>
      <w:tr w14:paraId="1AFDFC9A">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A9FBD">
            <w:pPr>
              <w:widowControl/>
              <w:jc w:val="center"/>
              <w:textAlignment w:val="center"/>
              <w:rPr>
                <w:rFonts w:ascii="仿宋" w:hAnsi="仿宋" w:eastAsia="仿宋" w:cs="宋体"/>
                <w:color w:val="000000"/>
                <w:szCs w:val="28"/>
              </w:rPr>
            </w:pPr>
            <w:r>
              <w:rPr>
                <w:rFonts w:hint="eastAsia" w:ascii="仿宋" w:hAnsi="仿宋" w:eastAsia="仿宋" w:cs="宋体"/>
                <w:color w:val="000000"/>
                <w:kern w:val="0"/>
                <w:szCs w:val="28"/>
                <w:lang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23DE">
            <w:pPr>
              <w:widowControl/>
              <w:jc w:val="left"/>
              <w:textAlignment w:val="center"/>
              <w:rPr>
                <w:rFonts w:ascii="仿宋" w:hAnsi="仿宋" w:eastAsia="仿宋" w:cs="宋体"/>
                <w:color w:val="000000"/>
                <w:szCs w:val="28"/>
              </w:rPr>
            </w:pPr>
            <w:r>
              <w:rPr>
                <w:rFonts w:hint="eastAsia" w:ascii="仿宋" w:hAnsi="仿宋" w:eastAsia="仿宋" w:cs="宋体"/>
                <w:color w:val="000000"/>
                <w:kern w:val="0"/>
                <w:szCs w:val="28"/>
                <w:lang w:bidi="ar"/>
              </w:rPr>
              <w:t>大豆分子标记固相检测芯片开发</w:t>
            </w:r>
          </w:p>
        </w:tc>
        <w:tc>
          <w:tcPr>
            <w:tcW w:w="2374" w:type="pct"/>
            <w:tcBorders>
              <w:top w:val="single" w:color="000000" w:sz="4" w:space="0"/>
              <w:left w:val="single" w:color="000000" w:sz="4" w:space="0"/>
              <w:bottom w:val="single" w:color="000000" w:sz="4" w:space="0"/>
              <w:right w:val="single" w:color="000000" w:sz="4" w:space="0"/>
            </w:tcBorders>
          </w:tcPr>
          <w:p w14:paraId="1ED71353">
            <w:pPr>
              <w:widowControl/>
              <w:jc w:val="left"/>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针对大豆仍处于传统育种阶段、分子育种尚未建立的问题，设计开发一套大豆分子标记固相检测芯片，涵盖大豆关键功能基因位点、国标大豆</w:t>
            </w:r>
            <w:r>
              <w:rPr>
                <w:rFonts w:ascii="仿宋" w:hAnsi="仿宋" w:eastAsia="仿宋" w:cs="宋体"/>
                <w:color w:val="000000"/>
                <w:kern w:val="0"/>
                <w:szCs w:val="28"/>
                <w:lang w:bidi="ar"/>
              </w:rPr>
              <w:t>SSR检测标记、国内外主要转基因元件检测标记和遗传背景检测SNP标记，依托南繁硅谷技术平台完成芯片的验证、检测、服务工作，利用芯片筛选鉴定含有相关等位基因的种质，选育高产、高抗、高油、高蛋白的大豆新品种。</w:t>
            </w:r>
          </w:p>
        </w:tc>
        <w:tc>
          <w:tcPr>
            <w:tcW w:w="1612" w:type="pct"/>
            <w:tcBorders>
              <w:top w:val="single" w:color="000000" w:sz="4" w:space="0"/>
              <w:left w:val="single" w:color="000000" w:sz="4" w:space="0"/>
              <w:bottom w:val="single" w:color="000000" w:sz="4" w:space="0"/>
              <w:right w:val="single" w:color="000000" w:sz="4" w:space="0"/>
            </w:tcBorders>
          </w:tcPr>
          <w:p w14:paraId="7034A5C5">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1.设计开发大豆分子标记固相检测芯片</w:t>
            </w:r>
            <w:r>
              <w:rPr>
                <w:rFonts w:hint="eastAsia" w:ascii="仿宋" w:hAnsi="仿宋" w:eastAsia="仿宋" w:cs="宋体"/>
                <w:color w:val="000000"/>
                <w:kern w:val="0"/>
                <w:szCs w:val="28"/>
                <w:lang w:bidi="ar"/>
              </w:rPr>
              <w:t>1</w:t>
            </w:r>
            <w:r>
              <w:rPr>
                <w:rFonts w:ascii="仿宋" w:hAnsi="仿宋" w:eastAsia="仿宋" w:cs="宋体"/>
                <w:color w:val="000000"/>
                <w:kern w:val="0"/>
                <w:szCs w:val="28"/>
                <w:lang w:bidi="ar"/>
              </w:rPr>
              <w:t>套；</w:t>
            </w:r>
          </w:p>
          <w:p w14:paraId="2EC8683C">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2.建立芯片检测服务体系；</w:t>
            </w:r>
          </w:p>
          <w:p w14:paraId="59538E67">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3.利用固相芯片检测大豆品种资源基因型1000份；发掘含有高产、高抗、高油、高蛋白等相关基因的种质100份；</w:t>
            </w:r>
          </w:p>
          <w:p w14:paraId="77F70DEF">
            <w:pPr>
              <w:widowControl/>
              <w:jc w:val="left"/>
              <w:textAlignment w:val="center"/>
              <w:rPr>
                <w:rFonts w:hint="eastAsia" w:ascii="仿宋" w:hAnsi="仿宋" w:eastAsia="仿宋" w:cs="宋体"/>
                <w:color w:val="000000"/>
                <w:kern w:val="0"/>
                <w:szCs w:val="28"/>
                <w:lang w:bidi="ar"/>
              </w:rPr>
            </w:pPr>
            <w:r>
              <w:rPr>
                <w:rFonts w:ascii="仿宋" w:hAnsi="仿宋" w:eastAsia="仿宋" w:cs="宋体"/>
                <w:color w:val="000000"/>
                <w:kern w:val="0"/>
                <w:szCs w:val="28"/>
                <w:lang w:bidi="ar"/>
              </w:rPr>
              <w:t>4.选育出达到国家审定标准的高产、高抗、优质大豆新品系2-3个。</w:t>
            </w:r>
          </w:p>
        </w:tc>
      </w:tr>
      <w:tr w14:paraId="77D85B91">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D06AA7">
            <w:pPr>
              <w:widowControl/>
              <w:jc w:val="center"/>
              <w:textAlignment w:val="center"/>
              <w:rPr>
                <w:rFonts w:ascii="仿宋" w:hAnsi="仿宋" w:eastAsia="仿宋" w:cs="宋体"/>
                <w:color w:val="000000"/>
                <w:szCs w:val="28"/>
              </w:rPr>
            </w:pPr>
            <w:r>
              <w:rPr>
                <w:rFonts w:hint="eastAsia" w:ascii="仿宋" w:hAnsi="仿宋" w:eastAsia="仿宋" w:cs="宋体"/>
                <w:color w:val="000000"/>
                <w:kern w:val="0"/>
                <w:szCs w:val="28"/>
                <w:lang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02C7">
            <w:pPr>
              <w:widowControl/>
              <w:jc w:val="left"/>
              <w:textAlignment w:val="center"/>
              <w:rPr>
                <w:rFonts w:ascii="仿宋" w:hAnsi="仿宋" w:eastAsia="仿宋" w:cs="宋体"/>
                <w:color w:val="000000"/>
                <w:szCs w:val="28"/>
              </w:rPr>
            </w:pPr>
            <w:r>
              <w:rPr>
                <w:rFonts w:hint="eastAsia" w:ascii="仿宋" w:hAnsi="仿宋" w:eastAsia="仿宋" w:cs="宋体"/>
                <w:color w:val="000000"/>
                <w:kern w:val="0"/>
                <w:szCs w:val="28"/>
                <w:lang w:bidi="ar"/>
              </w:rPr>
              <w:t>广适型优质籼稻新品种选育及高产高效制种技术开发与应用</w:t>
            </w:r>
          </w:p>
        </w:tc>
        <w:tc>
          <w:tcPr>
            <w:tcW w:w="2374" w:type="pct"/>
            <w:tcBorders>
              <w:top w:val="single" w:color="000000" w:sz="4" w:space="0"/>
              <w:left w:val="single" w:color="000000" w:sz="4" w:space="0"/>
              <w:bottom w:val="single" w:color="000000" w:sz="4" w:space="0"/>
              <w:right w:val="single" w:color="000000" w:sz="4" w:space="0"/>
            </w:tcBorders>
          </w:tcPr>
          <w:p w14:paraId="5CC7C3DD">
            <w:pPr>
              <w:widowControl/>
              <w:jc w:val="left"/>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针对目前优质食味杂交籼稻品种在异常气候下易导致稻米外观品质差、易倒伏、稻瘟等病害严重，以及近年评选的“海南好米”金奖品种因抗病性和米质影响产业化等突出问题，围绕优质稻米推广环节中需要解决的关键核心技术问题，充分利用南繁硅谷资源与技术优势，打造海南优质稻米品种育繁推技术研发与集成应用平台，培育高产稳产优质稻米和高档香米新品种，开展高产高效配套制种技术研究与应用，并结合海南自贸港与东盟的合作交流，推动海南省种业龙头企业提升在东南亚稻区的产品竞争力。</w:t>
            </w:r>
          </w:p>
        </w:tc>
        <w:tc>
          <w:tcPr>
            <w:tcW w:w="1612" w:type="pct"/>
            <w:tcBorders>
              <w:top w:val="single" w:color="000000" w:sz="4" w:space="0"/>
              <w:left w:val="single" w:color="000000" w:sz="4" w:space="0"/>
              <w:bottom w:val="single" w:color="000000" w:sz="4" w:space="0"/>
              <w:right w:val="single" w:color="000000" w:sz="4" w:space="0"/>
            </w:tcBorders>
          </w:tcPr>
          <w:p w14:paraId="45C308AF">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1.创制抗倒伏、</w:t>
            </w:r>
            <w:r>
              <w:rPr>
                <w:rFonts w:hint="eastAsia" w:ascii="仿宋" w:hAnsi="仿宋" w:eastAsia="仿宋" w:cs="宋体"/>
                <w:color w:val="000000"/>
                <w:kern w:val="0"/>
                <w:szCs w:val="28"/>
                <w:lang w:bidi="ar"/>
              </w:rPr>
              <w:t>抗</w:t>
            </w:r>
            <w:r>
              <w:rPr>
                <w:rFonts w:ascii="仿宋" w:hAnsi="仿宋" w:eastAsia="仿宋" w:cs="宋体"/>
                <w:color w:val="000000"/>
                <w:kern w:val="0"/>
                <w:szCs w:val="28"/>
                <w:lang w:bidi="ar"/>
              </w:rPr>
              <w:t>2种以上主要病虫害的优质香型恢复系1-2个；</w:t>
            </w:r>
          </w:p>
          <w:p w14:paraId="663101C8">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2.育成2-3个适宜华南稻区香型优质杂交水稻新品种，具备抗倒伏特性，中抗稻瘟病，长宽比3.8以上，食味值评分不低于85分；育成1-2个适宜长江流域优质高产水稻新品种，耐热、中抗稻瘟病、抗倒伏，米质主要指标达到部颁优质米一级；</w:t>
            </w:r>
          </w:p>
          <w:p w14:paraId="048CF2D8">
            <w:pPr>
              <w:widowControl/>
              <w:jc w:val="left"/>
              <w:textAlignment w:val="center"/>
              <w:rPr>
                <w:rFonts w:hint="eastAsia" w:ascii="仿宋" w:hAnsi="仿宋" w:eastAsia="仿宋" w:cs="宋体"/>
                <w:color w:val="000000"/>
                <w:kern w:val="0"/>
                <w:szCs w:val="28"/>
                <w:lang w:bidi="ar"/>
              </w:rPr>
            </w:pPr>
            <w:r>
              <w:rPr>
                <w:rFonts w:ascii="仿宋" w:hAnsi="仿宋" w:eastAsia="仿宋" w:cs="宋体"/>
                <w:color w:val="000000"/>
                <w:kern w:val="0"/>
                <w:szCs w:val="28"/>
                <w:lang w:bidi="ar"/>
              </w:rPr>
              <w:t>3.针对海南以及东南亚气候特征制定高产高效制种技术规程1套，新品种制种产量达到170公斤/亩，应用该技术规程制种面积500亩以上。</w:t>
            </w:r>
          </w:p>
        </w:tc>
      </w:tr>
      <w:tr w14:paraId="24A224F2">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547DD4">
            <w:pPr>
              <w:widowControl/>
              <w:jc w:val="center"/>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F3ED">
            <w:pPr>
              <w:widowControl/>
              <w:jc w:val="left"/>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全球咖啡核心种质资源基因组数据库构建与驯化机制研究</w:t>
            </w:r>
          </w:p>
        </w:tc>
        <w:tc>
          <w:tcPr>
            <w:tcW w:w="2374" w:type="pct"/>
            <w:tcBorders>
              <w:top w:val="single" w:color="000000" w:sz="4" w:space="0"/>
              <w:left w:val="single" w:color="000000" w:sz="4" w:space="0"/>
              <w:bottom w:val="single" w:color="000000" w:sz="4" w:space="0"/>
              <w:right w:val="single" w:color="000000" w:sz="4" w:space="0"/>
            </w:tcBorders>
          </w:tcPr>
          <w:p w14:paraId="2E7990A2">
            <w:pPr>
              <w:widowControl/>
              <w:jc w:val="left"/>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针对全球咖啡核心种质资源基因组数据库缺乏，品种驯化机制不清的问题，构建咖啡属主要栽培种泛基因组，建立具有自主知识产权的栽培咖啡基因组数据库平台；开展全球核心咖啡品种基因组多样性与驯化机制研究，开发基于分子标记的咖啡种质资源快速鉴定技术，为海南咖啡全球贸易和生物育种技术研发提供数据支撑和基因资源。</w:t>
            </w:r>
          </w:p>
        </w:tc>
        <w:tc>
          <w:tcPr>
            <w:tcW w:w="1612" w:type="pct"/>
            <w:tcBorders>
              <w:top w:val="single" w:color="000000" w:sz="4" w:space="0"/>
              <w:left w:val="single" w:color="000000" w:sz="4" w:space="0"/>
              <w:bottom w:val="single" w:color="000000" w:sz="4" w:space="0"/>
              <w:right w:val="single" w:color="000000" w:sz="4" w:space="0"/>
            </w:tcBorders>
          </w:tcPr>
          <w:p w14:paraId="0BE2457D">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1.搭建咖啡属基因组数据库和信息资源平台1个，为咖啡生物育种技术研发与新品种选育提供基因资源；</w:t>
            </w:r>
          </w:p>
          <w:p w14:paraId="307E0C72">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2.揭示咖啡品种驯化机制，研发咖啡种质资源分子鉴定技术，申请发明专利1-2项，为海南省咖啡贸易品种鉴定提供技术支撑；</w:t>
            </w:r>
          </w:p>
          <w:p w14:paraId="08AE5FE9">
            <w:pPr>
              <w:widowControl/>
              <w:jc w:val="left"/>
              <w:textAlignment w:val="center"/>
              <w:rPr>
                <w:rFonts w:hint="eastAsia" w:ascii="仿宋" w:hAnsi="仿宋" w:eastAsia="仿宋" w:cs="宋体"/>
                <w:color w:val="000000"/>
                <w:kern w:val="0"/>
                <w:szCs w:val="28"/>
                <w:lang w:bidi="ar"/>
              </w:rPr>
            </w:pPr>
            <w:r>
              <w:rPr>
                <w:rFonts w:ascii="仿宋" w:hAnsi="仿宋" w:eastAsia="仿宋" w:cs="宋体"/>
                <w:color w:val="000000"/>
                <w:kern w:val="0"/>
                <w:szCs w:val="28"/>
                <w:lang w:bidi="ar"/>
              </w:rPr>
              <w:t>3.发表高水平研究论文1-2篇，提升我国咖啡基础研究的国际影响力。</w:t>
            </w:r>
          </w:p>
        </w:tc>
      </w:tr>
      <w:tr w14:paraId="5C44EDAD">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3DC143">
            <w:pPr>
              <w:widowControl/>
              <w:jc w:val="center"/>
              <w:textAlignment w:val="center"/>
              <w:rPr>
                <w:rFonts w:ascii="仿宋" w:hAnsi="仿宋" w:eastAsia="仿宋" w:cs="宋体"/>
                <w:color w:val="000000"/>
                <w:kern w:val="0"/>
                <w:szCs w:val="28"/>
                <w:lang w:bidi="ar"/>
              </w:rPr>
            </w:pPr>
            <w:r>
              <w:rPr>
                <w:rFonts w:hint="eastAsia" w:ascii="仿宋" w:hAnsi="仿宋" w:eastAsia="仿宋" w:cs="宋体"/>
                <w:color w:val="000000"/>
                <w:kern w:val="0"/>
                <w:szCs w:val="28"/>
                <w:lang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9A1B">
            <w:pPr>
              <w:widowControl/>
              <w:jc w:val="left"/>
              <w:textAlignment w:val="center"/>
              <w:rPr>
                <w:rFonts w:ascii="仿宋" w:hAnsi="仿宋" w:eastAsia="仿宋" w:cs="宋体"/>
                <w:color w:val="000000"/>
                <w:kern w:val="0"/>
                <w:szCs w:val="28"/>
                <w:lang w:bidi="ar"/>
              </w:rPr>
            </w:pPr>
            <w:r>
              <w:rPr>
                <w:rFonts w:hint="eastAsia" w:ascii="仿宋" w:hAnsi="仿宋" w:eastAsia="仿宋" w:cs="宋体"/>
                <w:color w:val="000000"/>
                <w:kern w:val="0"/>
                <w:szCs w:val="28"/>
                <w:lang w:bidi="ar"/>
              </w:rPr>
              <w:t>农作物生物育种前沿技术探索（作物高光效、非豆科作物固氮、无融合生殖）</w:t>
            </w:r>
          </w:p>
        </w:tc>
        <w:tc>
          <w:tcPr>
            <w:tcW w:w="2374" w:type="pct"/>
            <w:tcBorders>
              <w:top w:val="single" w:color="000000" w:sz="4" w:space="0"/>
              <w:left w:val="single" w:color="000000" w:sz="4" w:space="0"/>
              <w:bottom w:val="single" w:color="000000" w:sz="4" w:space="0"/>
              <w:right w:val="single" w:color="000000" w:sz="4" w:space="0"/>
            </w:tcBorders>
          </w:tcPr>
          <w:p w14:paraId="46C2701E">
            <w:pPr>
              <w:widowControl/>
              <w:jc w:val="left"/>
              <w:textAlignment w:val="center"/>
              <w:rPr>
                <w:rFonts w:ascii="仿宋" w:hAnsi="仿宋" w:eastAsia="仿宋" w:cs="宋体"/>
                <w:color w:val="000000"/>
                <w:kern w:val="0"/>
                <w:szCs w:val="28"/>
                <w:lang w:bidi="ar"/>
              </w:rPr>
            </w:pPr>
            <w:r>
              <w:rPr>
                <w:rFonts w:hint="eastAsia" w:ascii="仿宋" w:hAnsi="仿宋" w:eastAsia="仿宋" w:cs="宋体"/>
                <w:color w:val="000000"/>
                <w:kern w:val="0"/>
                <w:szCs w:val="28"/>
                <w:lang w:bidi="ar"/>
              </w:rPr>
              <w:t>1．</w:t>
            </w:r>
            <w:r>
              <w:rPr>
                <w:rFonts w:ascii="仿宋" w:hAnsi="仿宋" w:eastAsia="仿宋" w:cs="宋体"/>
                <w:color w:val="000000"/>
                <w:kern w:val="0"/>
                <w:szCs w:val="28"/>
                <w:lang w:bidi="ar"/>
              </w:rPr>
              <w:t xml:space="preserve">通过高光效基因克隆、光合作用调控机制和元件应用、C4作物高光效回路优化、C3作物模拟C4作物高光循环、光合途径及光呼吸旁路建立、光驱动原叶绿素还原等技术，在水稻或玉米等作物上实现光合效率显著提升，并通过大田验证测试证明产业化潜力，提升作物光能利用率。 </w:t>
            </w:r>
          </w:p>
          <w:p w14:paraId="2C53FEA0">
            <w:pPr>
              <w:widowControl/>
              <w:jc w:val="left"/>
              <w:textAlignment w:val="center"/>
              <w:rPr>
                <w:rFonts w:ascii="仿宋" w:hAnsi="仿宋" w:eastAsia="仿宋" w:cs="宋体"/>
                <w:color w:val="000000"/>
                <w:kern w:val="0"/>
                <w:szCs w:val="28"/>
                <w:lang w:bidi="ar"/>
              </w:rPr>
            </w:pPr>
            <w:r>
              <w:rPr>
                <w:rFonts w:hint="eastAsia" w:ascii="仿宋" w:hAnsi="仿宋" w:eastAsia="仿宋" w:cs="宋体"/>
                <w:color w:val="000000"/>
                <w:kern w:val="0"/>
                <w:szCs w:val="28"/>
                <w:lang w:bidi="ar"/>
              </w:rPr>
              <w:t>2．</w:t>
            </w:r>
            <w:r>
              <w:rPr>
                <w:rFonts w:ascii="仿宋" w:hAnsi="仿宋" w:eastAsia="仿宋" w:cs="宋体"/>
                <w:color w:val="000000"/>
                <w:kern w:val="0"/>
                <w:szCs w:val="28"/>
                <w:lang w:bidi="ar"/>
              </w:rPr>
              <w:t>通过筛选自生或与植物共生固氮微生物、开发高效固氮基因组调控元件、植物与根际微生物间分子信号通路设计、合成生物学构建超简固氮基因组等方法，在小麦或玉米等作物上实现固氮微生物高效共生同时能够供给植物可吸收利用的氮素，解决土壤氮素缺乏问题、减少化肥施用。</w:t>
            </w:r>
          </w:p>
          <w:p w14:paraId="20FEB24C">
            <w:pPr>
              <w:widowControl/>
              <w:jc w:val="left"/>
              <w:textAlignment w:val="center"/>
              <w:rPr>
                <w:rFonts w:hint="eastAsia" w:ascii="仿宋" w:hAnsi="仿宋" w:eastAsia="仿宋" w:cs="宋体"/>
                <w:color w:val="000000"/>
                <w:kern w:val="0"/>
                <w:szCs w:val="28"/>
                <w:lang w:bidi="ar"/>
              </w:rPr>
            </w:pPr>
            <w:r>
              <w:rPr>
                <w:rFonts w:hint="eastAsia" w:ascii="仿宋" w:hAnsi="仿宋" w:eastAsia="仿宋" w:cs="宋体"/>
                <w:color w:val="000000"/>
                <w:kern w:val="0"/>
                <w:szCs w:val="28"/>
                <w:lang w:bidi="ar"/>
              </w:rPr>
              <w:t>3．</w:t>
            </w:r>
            <w:r>
              <w:rPr>
                <w:rFonts w:ascii="仿宋" w:hAnsi="仿宋" w:eastAsia="仿宋" w:cs="宋体"/>
                <w:color w:val="000000"/>
                <w:kern w:val="0"/>
                <w:szCs w:val="28"/>
                <w:lang w:bidi="ar"/>
              </w:rPr>
              <w:t>通过发掘利用减数分裂遗传调控基因或其它杂种优势固定技术等，利用前期已发现的天然无融合生殖基础研究成果，开发筛选人工诱导无融合生殖的机制方法。在水稻或玉米等作物上实现不依赖雌雄配子融合即可产生遗传稳定的后代，有效避免交种后代性状分离、杂种优势在子代中的衰退，降低制种成本。</w:t>
            </w:r>
          </w:p>
        </w:tc>
        <w:tc>
          <w:tcPr>
            <w:tcW w:w="1612" w:type="pct"/>
            <w:tcBorders>
              <w:top w:val="single" w:color="000000" w:sz="4" w:space="0"/>
              <w:left w:val="single" w:color="000000" w:sz="4" w:space="0"/>
              <w:bottom w:val="single" w:color="000000" w:sz="4" w:space="0"/>
              <w:right w:val="single" w:color="000000" w:sz="4" w:space="0"/>
            </w:tcBorders>
          </w:tcPr>
          <w:p w14:paraId="089A35F5">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1.验证在水稻或玉米等作物上提高光合作用的位点1个；</w:t>
            </w:r>
          </w:p>
          <w:p w14:paraId="1F149D52">
            <w:pPr>
              <w:widowControl/>
              <w:jc w:val="left"/>
              <w:textAlignment w:val="center"/>
              <w:rPr>
                <w:rFonts w:ascii="仿宋" w:hAnsi="仿宋" w:eastAsia="仿宋" w:cs="宋体"/>
                <w:color w:val="000000"/>
                <w:kern w:val="0"/>
                <w:szCs w:val="28"/>
                <w:lang w:bidi="ar"/>
              </w:rPr>
            </w:pPr>
            <w:r>
              <w:rPr>
                <w:rFonts w:ascii="仿宋" w:hAnsi="仿宋" w:eastAsia="仿宋" w:cs="宋体"/>
                <w:color w:val="000000"/>
                <w:kern w:val="0"/>
                <w:szCs w:val="28"/>
                <w:lang w:bidi="ar"/>
              </w:rPr>
              <w:t>2.验证在小麦或玉米等作物上提高固氮能力的位点1个；筛选适用于小麦或玉米等作物的通用固氮微生物1个。</w:t>
            </w:r>
          </w:p>
          <w:p w14:paraId="5A6764B7">
            <w:pPr>
              <w:widowControl/>
              <w:jc w:val="left"/>
              <w:textAlignment w:val="center"/>
              <w:rPr>
                <w:rFonts w:hint="eastAsia" w:ascii="仿宋" w:hAnsi="仿宋" w:eastAsia="仿宋" w:cs="宋体"/>
                <w:color w:val="000000"/>
                <w:kern w:val="0"/>
                <w:szCs w:val="28"/>
                <w:lang w:bidi="ar"/>
              </w:rPr>
            </w:pPr>
            <w:r>
              <w:rPr>
                <w:rFonts w:ascii="仿宋" w:hAnsi="仿宋" w:eastAsia="仿宋" w:cs="宋体"/>
                <w:color w:val="000000"/>
                <w:kern w:val="0"/>
                <w:szCs w:val="28"/>
                <w:lang w:bidi="ar"/>
              </w:rPr>
              <w:t>3.发现能在水稻或玉米等作物上诱导无融合生殖的位点1个。</w:t>
            </w:r>
          </w:p>
        </w:tc>
      </w:tr>
    </w:tbl>
    <w:p w14:paraId="55270A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heme="minorBidi"/>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C7F92"/>
    <w:rsid w:val="329B2482"/>
    <w:rsid w:val="37F214F9"/>
    <w:rsid w:val="431E4043"/>
    <w:rsid w:val="44AF52CD"/>
    <w:rsid w:val="4D5D1298"/>
    <w:rsid w:val="74EA4A3D"/>
    <w:rsid w:val="7DF1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1620</Words>
  <Characters>1635</Characters>
  <Lines>0</Lines>
  <Paragraphs>0</Paragraphs>
  <TotalTime>0</TotalTime>
  <ScaleCrop>false</ScaleCrop>
  <LinksUpToDate>false</LinksUpToDate>
  <CharactersWithSpaces>1641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2025-06-12T07:59:00Z</dcterms:created>
  <dc:creator>Administrator</dc:creator>
  <cp:lastModifiedBy>Administrator</cp:lastModifiedBy>
  <dcterms:modified xsi:type="dcterms:W3CDTF">2025-06-20T02:07:48Z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eyJoZGlkIjoiOTlmZTA1NjM0NGU1YjgwMzgwNWY5ZjgyMWQ2MWRiYTYifQ==</vt:lpwstr>
  </property>
  <property fmtid="{D5CDD505-2E9C-101B-9397-08002B2CF9AE}" pid="4" name="ICV">
    <vt:lpwstr>001A64C3DFE1419093621939C314858A_12</vt:lpwstr>
  </property>
</Properties>
</file>